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88C2" w14:textId="77777777" w:rsidR="00200DE2" w:rsidRDefault="00200DE2"/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5740"/>
      </w:tblGrid>
      <w:tr w:rsidR="003643C8" w:rsidRPr="006626B3" w14:paraId="5B118C8D" w14:textId="77777777" w:rsidTr="00B601B0">
        <w:trPr>
          <w:trHeight w:hRule="exact" w:val="1245"/>
        </w:trPr>
        <w:tc>
          <w:tcPr>
            <w:tcW w:w="746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7153A3E" w14:textId="77777777" w:rsidR="003643C8" w:rsidRDefault="003643C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</w:rPr>
            </w:pPr>
          </w:p>
          <w:p w14:paraId="2468261B" w14:textId="470B71D7" w:rsidR="003643C8" w:rsidRPr="008D5EDE" w:rsidRDefault="007A1CC0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Centennial High School</w:t>
            </w:r>
          </w:p>
          <w:p w14:paraId="4A8A9B85" w14:textId="77777777" w:rsidR="003643C8" w:rsidRDefault="003643C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8D5EDE">
              <w:rPr>
                <w:rFonts w:ascii="Arial" w:hAnsi="Arial" w:cs="Arial"/>
                <w:b/>
                <w:smallCaps/>
              </w:rPr>
              <w:t xml:space="preserve">School </w:t>
            </w:r>
            <w:r>
              <w:rPr>
                <w:rFonts w:ascii="Arial" w:hAnsi="Arial" w:cs="Arial"/>
                <w:b/>
                <w:smallCaps/>
              </w:rPr>
              <w:t>Improvement Plan At A Glance</w:t>
            </w:r>
          </w:p>
          <w:p w14:paraId="427D229F" w14:textId="77777777" w:rsidR="003643C8" w:rsidRPr="008747A8" w:rsidRDefault="0034452C" w:rsidP="003643C8">
            <w:pPr>
              <w:tabs>
                <w:tab w:val="left" w:pos="7632"/>
              </w:tabs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</w:rPr>
              <w:t>2017</w:t>
            </w:r>
            <w:r w:rsidR="003643C8">
              <w:rPr>
                <w:rFonts w:ascii="Arial" w:hAnsi="Arial" w:cs="Arial"/>
                <w:b/>
                <w:smallCaps/>
              </w:rPr>
              <w:t xml:space="preserve"> – 201</w:t>
            </w:r>
            <w:r>
              <w:rPr>
                <w:rFonts w:ascii="Arial" w:hAnsi="Arial" w:cs="Arial"/>
                <w:b/>
                <w:smallCaps/>
              </w:rPr>
              <w:t>8</w:t>
            </w:r>
          </w:p>
        </w:tc>
        <w:tc>
          <w:tcPr>
            <w:tcW w:w="5740" w:type="dxa"/>
            <w:tcBorders>
              <w:left w:val="double" w:sz="4" w:space="0" w:color="auto"/>
            </w:tcBorders>
          </w:tcPr>
          <w:p w14:paraId="55A5F76A" w14:textId="5BC80C63" w:rsidR="003643C8" w:rsidRPr="00AE1F23" w:rsidRDefault="007A1CC0" w:rsidP="007A1CC0">
            <w:pPr>
              <w:jc w:val="center"/>
              <w:rPr>
                <w:szCs w:val="28"/>
                <w:highlight w:val="yellow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490237C" wp14:editId="48AE06A4">
                  <wp:extent cx="1626870" cy="683339"/>
                  <wp:effectExtent l="25400" t="0" r="0" b="0"/>
                  <wp:docPr id="7" name="Picture 1" descr=":Screen Shot 2013-07-30 at 12.17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creen Shot 2013-07-30 at 12.17.3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752" cy="728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9DE67" w14:textId="77777777" w:rsidR="00950C45" w:rsidRPr="006626B3" w:rsidRDefault="00950C45" w:rsidP="00950C45">
      <w:pPr>
        <w:jc w:val="center"/>
        <w:rPr>
          <w:sz w:val="6"/>
          <w:szCs w:val="6"/>
        </w:rPr>
      </w:pPr>
    </w:p>
    <w:tbl>
      <w:tblPr>
        <w:tblpPr w:leftFromText="180" w:rightFromText="180" w:vertAnchor="page" w:horzAnchor="page" w:tblpX="1302" w:tblpY="2181"/>
        <w:tblW w:w="13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7212"/>
      </w:tblGrid>
      <w:tr w:rsidR="000F5856" w:rsidRPr="006626B3" w14:paraId="4409A2DC" w14:textId="77777777" w:rsidTr="00B601B0">
        <w:trPr>
          <w:trHeight w:val="348"/>
        </w:trPr>
        <w:tc>
          <w:tcPr>
            <w:tcW w:w="6066" w:type="dxa"/>
          </w:tcPr>
          <w:p w14:paraId="6BE605CF" w14:textId="0B3366B4" w:rsidR="003643C8" w:rsidRPr="00AE1F23" w:rsidRDefault="007A1CC0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 xml:space="preserve">Centennial High </w:t>
            </w:r>
            <w:r w:rsidR="003643C8" w:rsidRPr="00AE1F23">
              <w:rPr>
                <w:rFonts w:ascii="Arial" w:hAnsi="Arial" w:cs="Arial"/>
                <w:b/>
                <w:i/>
                <w:smallCaps/>
              </w:rPr>
              <w:t>School: Vision and Mission</w:t>
            </w:r>
          </w:p>
        </w:tc>
        <w:tc>
          <w:tcPr>
            <w:tcW w:w="7212" w:type="dxa"/>
            <w:tcBorders>
              <w:bottom w:val="double" w:sz="4" w:space="0" w:color="auto"/>
            </w:tcBorders>
          </w:tcPr>
          <w:p w14:paraId="7279C1B8" w14:textId="77777777" w:rsidR="003643C8" w:rsidRPr="00AE1F23" w:rsidRDefault="000F5856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School Targets and Strategies</w:t>
            </w:r>
          </w:p>
        </w:tc>
      </w:tr>
      <w:tr w:rsidR="000F5856" w:rsidRPr="006626B3" w14:paraId="0F9A520B" w14:textId="77777777" w:rsidTr="00E900CA">
        <w:trPr>
          <w:trHeight w:hRule="exact" w:val="2399"/>
        </w:trPr>
        <w:tc>
          <w:tcPr>
            <w:tcW w:w="6066" w:type="dxa"/>
          </w:tcPr>
          <w:p w14:paraId="2F238344" w14:textId="77777777" w:rsidR="007A1CC0" w:rsidRDefault="007A1CC0" w:rsidP="007A1CC0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</w:p>
          <w:p w14:paraId="59BF2B01" w14:textId="77777777" w:rsidR="007A1CC0" w:rsidRPr="00E14D8D" w:rsidRDefault="007A1CC0" w:rsidP="007A1CC0">
            <w:pPr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  <w:r w:rsidRPr="00E14D8D">
              <w:rPr>
                <w:sz w:val="20"/>
                <w:szCs w:val="16"/>
              </w:rPr>
              <w:t xml:space="preserve">Our vision is to prepare a community of successful learners for active citizenship, successful career exploration, and further education beyond graduation in a climate of respect and appreciation for diverse cultures.       </w:t>
            </w:r>
          </w:p>
          <w:p w14:paraId="40B9A4DE" w14:textId="15E1A919" w:rsidR="00B601B0" w:rsidRPr="000F5856" w:rsidRDefault="007A1CC0" w:rsidP="007A1CC0">
            <w:pPr>
              <w:spacing w:before="20"/>
              <w:rPr>
                <w:sz w:val="22"/>
                <w:szCs w:val="22"/>
              </w:rPr>
            </w:pPr>
            <w:r w:rsidRPr="00E14D8D">
              <w:rPr>
                <w:sz w:val="20"/>
                <w:szCs w:val="16"/>
              </w:rPr>
              <w:t>It is Centennial High School's mission to provide a safe, nurturing environment that develops responsibility, personal integrity, self-respect, and respect for others; that nurtures a desire to become a life-long learner; that fosters a sense of community, while appreciating our diverse cultural heritage; and that upholds an emphasis on academic and personal excellence.</w:t>
            </w:r>
          </w:p>
        </w:tc>
        <w:tc>
          <w:tcPr>
            <w:tcW w:w="7212" w:type="dxa"/>
            <w:vMerge w:val="restart"/>
            <w:shd w:val="clear" w:color="auto" w:fill="auto"/>
          </w:tcPr>
          <w:p w14:paraId="006FA25F" w14:textId="77777777" w:rsidR="000F5856" w:rsidRDefault="000F5856" w:rsidP="000F5856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5B4C1BF" w14:textId="013E5FE6" w:rsidR="007A1CC0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>In order to impact AP participation for all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staff, </w:t>
            </w: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>counselors and administrators will collaborate to talent spot, meet with all students on th</w:t>
            </w:r>
            <w:r w:rsidRPr="009F07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eir</w:t>
            </w: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 xml:space="preserve"> caseload to encourage participation, monitor student enrollment in AP courses, hold informational meetings with parents, and provid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financial support when needed and use the AP potential index.</w:t>
            </w: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 xml:space="preserve"> (Cultural)</w:t>
            </w:r>
          </w:p>
          <w:p w14:paraId="12798ED0" w14:textId="77777777" w:rsidR="007A1CC0" w:rsidRPr="009F0768" w:rsidRDefault="007A1CC0" w:rsidP="007A1CC0">
            <w:pPr>
              <w:pStyle w:val="Normal1"/>
              <w:ind w:left="2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87902" w14:textId="77777777" w:rsidR="007A1CC0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>Staff will organize multiple opportunities for students to experience higher level courses before registration during Eagle Time. (Organizational)</w:t>
            </w:r>
          </w:p>
          <w:p w14:paraId="2EF72B74" w14:textId="77777777" w:rsidR="007A1CC0" w:rsidRDefault="007A1CC0" w:rsidP="007A1CC0">
            <w:pPr>
              <w:pStyle w:val="Normal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ABFEE" w14:textId="77777777" w:rsidR="007A1CC0" w:rsidRPr="009F0768" w:rsidRDefault="007A1CC0" w:rsidP="007A1CC0">
            <w:pPr>
              <w:pStyle w:val="Normal1"/>
              <w:ind w:left="2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EF8A" w14:textId="5DAE429D" w:rsidR="007A1CC0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>Offer Understanding by Design to work with all teachers (to prepare students for rigor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ous and AP courses) through monthly department meetings</w:t>
            </w: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>. (Instructional)</w:t>
            </w:r>
          </w:p>
          <w:p w14:paraId="0E3F786C" w14:textId="77777777" w:rsidR="007A1CC0" w:rsidRPr="009F0768" w:rsidRDefault="007A1CC0" w:rsidP="007A1CC0">
            <w:pPr>
              <w:pStyle w:val="Normal1"/>
              <w:ind w:left="2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B814E" w14:textId="50F1AC62" w:rsidR="007A1CC0" w:rsidRPr="002C739C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 xml:space="preserve">In order to impact SAT performance for all students,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staff, </w:t>
            </w:r>
            <w:r w:rsidRPr="009F0768">
              <w:rPr>
                <w:rFonts w:ascii="Times New Roman" w:hAnsi="Times New Roman" w:cs="Times New Roman"/>
                <w:sz w:val="20"/>
                <w:szCs w:val="20"/>
              </w:rPr>
              <w:t>counselors, administrators, and BSAP liaison will collaborate using PSAT scores to talent spot, meet with</w:t>
            </w:r>
            <w:r w:rsidRPr="002C739C">
              <w:rPr>
                <w:rFonts w:ascii="Times New Roman" w:hAnsi="Times New Roman" w:cs="Times New Roman"/>
                <w:sz w:val="20"/>
                <w:szCs w:val="20"/>
              </w:rPr>
              <w:t xml:space="preserve"> students on their caseload to encourage participation, monitor student registration for SAT exams, and hold informational meetings with parents. (Cultural)</w:t>
            </w:r>
          </w:p>
          <w:p w14:paraId="529C5E68" w14:textId="77777777" w:rsidR="007A1CC0" w:rsidRPr="002C739C" w:rsidRDefault="007A1CC0" w:rsidP="007A1CC0">
            <w:pPr>
              <w:pStyle w:val="Normal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EAA26" w14:textId="77777777" w:rsidR="007A1CC0" w:rsidRPr="002C739C" w:rsidRDefault="007A1CC0" w:rsidP="007A1CC0">
            <w:pPr>
              <w:pStyle w:val="Normal1"/>
              <w:ind w:left="2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26300" w14:textId="77777777" w:rsidR="007A1CC0" w:rsidRPr="002C739C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39C">
              <w:rPr>
                <w:rFonts w:ascii="Times New Roman" w:hAnsi="Times New Roman" w:cs="Times New Roman"/>
                <w:sz w:val="20"/>
                <w:szCs w:val="20"/>
              </w:rPr>
              <w:t>In order to impact SAT performance for all students, staff will offer SAT prep as a class and focus on Algebra II and English SLOs.  (Instructional)</w:t>
            </w:r>
          </w:p>
          <w:p w14:paraId="480CBFC1" w14:textId="77777777" w:rsidR="007A1CC0" w:rsidRPr="002C739C" w:rsidRDefault="007A1CC0" w:rsidP="007A1CC0">
            <w:pPr>
              <w:pStyle w:val="Normal1"/>
              <w:ind w:left="27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53744" w14:textId="77777777" w:rsidR="007A1CC0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39C">
              <w:rPr>
                <w:rFonts w:ascii="Times New Roman" w:hAnsi="Times New Roman" w:cs="Times New Roman"/>
                <w:sz w:val="20"/>
                <w:szCs w:val="20"/>
              </w:rPr>
              <w:t>Collaborative planning during PIP and departmental meetings for science, social studies, and English departments so that teachers can focus on integrating SAT-type texts into instruction. (Organizational)</w:t>
            </w:r>
          </w:p>
          <w:p w14:paraId="56FD0B06" w14:textId="77777777" w:rsidR="007A1CC0" w:rsidRDefault="007A1CC0" w:rsidP="007A1CC0">
            <w:pPr>
              <w:pStyle w:val="Normal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FD6C" w14:textId="303D0C71" w:rsidR="007A1CC0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order to impact the graduation rate for all students, counselors and administrators will meet with at risk students and provide support. (Cultural)</w:t>
            </w:r>
          </w:p>
          <w:p w14:paraId="4347D55C" w14:textId="77777777" w:rsidR="007A1CC0" w:rsidRDefault="007A1CC0" w:rsidP="007A1CC0">
            <w:pPr>
              <w:pStyle w:val="Normal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30F89" w14:textId="66013779" w:rsidR="007A1CC0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will provide support through weekly Student Support Meetings, Monthly attendance meetings, Core Academic Cohort monitoring, and after school programs. (Instructional)</w:t>
            </w:r>
          </w:p>
          <w:p w14:paraId="14F2D9A3" w14:textId="77777777" w:rsidR="007A1CC0" w:rsidRDefault="007A1CC0" w:rsidP="007A1CC0">
            <w:pPr>
              <w:pStyle w:val="Normal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9FB84" w14:textId="62CD5E58" w:rsidR="007A1CC0" w:rsidRPr="002C739C" w:rsidRDefault="007A1CC0" w:rsidP="007A1CC0">
            <w:pPr>
              <w:pStyle w:val="Normal1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PBIS, Res</w:t>
            </w:r>
            <w:r w:rsidR="00036307">
              <w:rPr>
                <w:rFonts w:ascii="Times New Roman" w:hAnsi="Times New Roman" w:cs="Times New Roman"/>
                <w:sz w:val="20"/>
                <w:szCs w:val="20"/>
              </w:rPr>
              <w:t>torative Circles, and Cultural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roficiency </w:t>
            </w:r>
            <w:r w:rsidR="00036307"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Education, and responsiveness through PLCs, professional development and PIPs. (Organizational)</w:t>
            </w:r>
          </w:p>
          <w:p w14:paraId="2AC5F19D" w14:textId="77777777" w:rsidR="007A1CC0" w:rsidRDefault="007A1CC0" w:rsidP="007A1CC0">
            <w:pPr>
              <w:pStyle w:val="Normal1"/>
              <w:contextualSpacing/>
              <w:jc w:val="both"/>
            </w:pPr>
          </w:p>
          <w:p w14:paraId="06D2D993" w14:textId="77777777" w:rsidR="007A1CC0" w:rsidRDefault="007A1CC0" w:rsidP="007A1CC0">
            <w:pPr>
              <w:jc w:val="both"/>
              <w:rPr>
                <w:sz w:val="18"/>
                <w:szCs w:val="16"/>
              </w:rPr>
            </w:pPr>
          </w:p>
          <w:p w14:paraId="2CF6B569" w14:textId="77777777" w:rsidR="007A1CC0" w:rsidRPr="000F5856" w:rsidRDefault="007A1CC0" w:rsidP="007A1C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5856" w:rsidRPr="006626B3" w14:paraId="18100C38" w14:textId="77777777" w:rsidTr="000F5856">
        <w:trPr>
          <w:trHeight w:val="1120"/>
        </w:trPr>
        <w:tc>
          <w:tcPr>
            <w:tcW w:w="6066" w:type="dxa"/>
          </w:tcPr>
          <w:p w14:paraId="2E4A1BC1" w14:textId="77777777" w:rsidR="000F5856" w:rsidRPr="000F5856" w:rsidRDefault="000F5856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0F5856">
              <w:rPr>
                <w:rFonts w:ascii="Arial" w:hAnsi="Arial" w:cs="Arial"/>
                <w:b/>
                <w:i/>
                <w:smallCaps/>
              </w:rPr>
              <w:t>HCPSS Strategic Call to Action</w:t>
            </w:r>
          </w:p>
          <w:p w14:paraId="6C1797F2" w14:textId="77777777" w:rsidR="000F5856" w:rsidRPr="00491328" w:rsidRDefault="000F5856" w:rsidP="000F5856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491328">
              <w:rPr>
                <w:rFonts w:ascii="Arial" w:hAnsi="Arial" w:cs="Arial"/>
                <w:i/>
                <w:smallCaps/>
              </w:rPr>
              <w:t>Learning and Leading with Equity</w:t>
            </w:r>
          </w:p>
          <w:p w14:paraId="602D2123" w14:textId="77777777" w:rsidR="000F5856" w:rsidRPr="000F5856" w:rsidRDefault="000F5856" w:rsidP="000F5856">
            <w:pPr>
              <w:jc w:val="center"/>
              <w:rPr>
                <w:i/>
                <w:sz w:val="22"/>
                <w:szCs w:val="22"/>
              </w:rPr>
            </w:pPr>
            <w:r w:rsidRPr="00491328">
              <w:rPr>
                <w:rFonts w:ascii="Arial" w:hAnsi="Arial" w:cs="Arial"/>
                <w:i/>
                <w:smallCaps/>
              </w:rPr>
              <w:t>The Fierce Urgency of Now</w:t>
            </w:r>
          </w:p>
        </w:tc>
        <w:tc>
          <w:tcPr>
            <w:tcW w:w="7212" w:type="dxa"/>
            <w:vMerge/>
            <w:shd w:val="clear" w:color="auto" w:fill="auto"/>
          </w:tcPr>
          <w:p w14:paraId="3E5D303B" w14:textId="77777777" w:rsidR="003643C8" w:rsidRPr="008747A8" w:rsidRDefault="003643C8" w:rsidP="000F5856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680EBA3F" w14:textId="77777777" w:rsidTr="000F5856">
        <w:trPr>
          <w:trHeight w:val="2011"/>
        </w:trPr>
        <w:tc>
          <w:tcPr>
            <w:tcW w:w="6066" w:type="dxa"/>
            <w:tcBorders>
              <w:bottom w:val="double" w:sz="4" w:space="0" w:color="auto"/>
            </w:tcBorders>
          </w:tcPr>
          <w:p w14:paraId="3AB19071" w14:textId="77777777" w:rsidR="000F5856" w:rsidRDefault="000F5856" w:rsidP="000F5856">
            <w:pPr>
              <w:rPr>
                <w:b/>
                <w:sz w:val="22"/>
                <w:szCs w:val="22"/>
              </w:rPr>
            </w:pPr>
          </w:p>
          <w:p w14:paraId="48FF1F8F" w14:textId="77777777" w:rsidR="000F5856" w:rsidRDefault="00D15B43" w:rsidP="000F5856">
            <w:pPr>
              <w:rPr>
                <w:sz w:val="22"/>
                <w:szCs w:val="22"/>
              </w:rPr>
            </w:pPr>
            <w:r w:rsidRPr="0034452C">
              <w:rPr>
                <w:b/>
                <w:sz w:val="22"/>
                <w:szCs w:val="22"/>
              </w:rPr>
              <w:t>Vision:</w:t>
            </w:r>
            <w:r w:rsidRPr="0034452C">
              <w:rPr>
                <w:sz w:val="22"/>
                <w:szCs w:val="22"/>
              </w:rPr>
              <w:t xml:space="preserve"> Every student and staff member embraces diversity and possesses the skills, knowledge and confidence to positively influence the larger community.</w:t>
            </w:r>
          </w:p>
          <w:p w14:paraId="30AD4E3E" w14:textId="77777777" w:rsidR="00E900CA" w:rsidRDefault="00E900CA" w:rsidP="000F5856">
            <w:pPr>
              <w:pStyle w:val="Heading2"/>
              <w:spacing w:before="40" w:beforeAutospacing="0" w:after="40" w:afterAutospacing="0"/>
              <w:rPr>
                <w:sz w:val="22"/>
                <w:szCs w:val="22"/>
              </w:rPr>
            </w:pPr>
          </w:p>
          <w:p w14:paraId="7E6A88FD" w14:textId="77777777" w:rsidR="000F5856" w:rsidRPr="00D15B43" w:rsidRDefault="00D15B43" w:rsidP="000F5856">
            <w:pPr>
              <w:pStyle w:val="Heading2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34452C">
              <w:rPr>
                <w:sz w:val="22"/>
                <w:szCs w:val="22"/>
              </w:rPr>
              <w:t xml:space="preserve">Mission: </w:t>
            </w:r>
            <w:r w:rsidRPr="0034452C">
              <w:rPr>
                <w:b w:val="0"/>
                <w:sz w:val="22"/>
                <w:szCs w:val="22"/>
              </w:rPr>
              <w:t>HCPSS ensures academic success and socioemotional well-being for each student in an inclusive and nurturing environment that closes opportunity gaps.</w:t>
            </w:r>
          </w:p>
        </w:tc>
        <w:tc>
          <w:tcPr>
            <w:tcW w:w="72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163C28" w14:textId="77777777" w:rsidR="003643C8" w:rsidRPr="008747A8" w:rsidRDefault="003643C8" w:rsidP="000F5856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003924AB" w14:textId="77777777" w:rsidTr="000F5856">
        <w:trPr>
          <w:trHeight w:val="463"/>
        </w:trPr>
        <w:tc>
          <w:tcPr>
            <w:tcW w:w="6066" w:type="dxa"/>
          </w:tcPr>
          <w:p w14:paraId="180BFC6C" w14:textId="77777777" w:rsidR="003643C8" w:rsidRPr="00AE1F23" w:rsidRDefault="00D15B43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A23E88">
              <w:rPr>
                <w:rFonts w:ascii="Arial" w:hAnsi="Arial" w:cs="Arial"/>
                <w:b/>
                <w:i/>
                <w:smallCaps/>
              </w:rPr>
              <w:t>HCPSS Desired Outcomes</w:t>
            </w:r>
          </w:p>
        </w:tc>
        <w:tc>
          <w:tcPr>
            <w:tcW w:w="7212" w:type="dxa"/>
            <w:vMerge/>
          </w:tcPr>
          <w:p w14:paraId="1EDF868A" w14:textId="77777777" w:rsidR="003643C8" w:rsidRPr="008747A8" w:rsidRDefault="003643C8" w:rsidP="000F5856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32A812C1" w14:textId="77777777" w:rsidTr="000F5856">
        <w:trPr>
          <w:trHeight w:val="3084"/>
        </w:trPr>
        <w:tc>
          <w:tcPr>
            <w:tcW w:w="6066" w:type="dxa"/>
          </w:tcPr>
          <w:p w14:paraId="2B406101" w14:textId="77777777" w:rsidR="003643C8" w:rsidRDefault="003643C8" w:rsidP="000F5856">
            <w:pPr>
              <w:ind w:left="360"/>
              <w:rPr>
                <w:sz w:val="22"/>
              </w:rPr>
            </w:pPr>
          </w:p>
          <w:p w14:paraId="5FD635A2" w14:textId="77777777" w:rsidR="00D15B43" w:rsidRPr="00D15B43" w:rsidRDefault="00D15B43" w:rsidP="000F5856">
            <w:pPr>
              <w:rPr>
                <w:rStyle w:val="Strong"/>
                <w:b w:val="0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Value</w:t>
            </w:r>
            <w:r w:rsidRPr="00D15B43">
              <w:rPr>
                <w:sz w:val="22"/>
                <w:szCs w:val="22"/>
              </w:rPr>
              <w:t>- Every HCPSS stakeholder feels happy and rewarded in their roles and takes pride in cultivating the learning community.</w:t>
            </w:r>
          </w:p>
          <w:p w14:paraId="37D48103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6E661EE9" w14:textId="77777777" w:rsidR="00D15B43" w:rsidRPr="00D15B43" w:rsidRDefault="00D15B43" w:rsidP="000F5856">
            <w:pPr>
              <w:rPr>
                <w:rStyle w:val="Strong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Achieve</w:t>
            </w:r>
            <w:r w:rsidRPr="00D15B43">
              <w:rPr>
                <w:b/>
                <w:sz w:val="22"/>
                <w:szCs w:val="22"/>
              </w:rPr>
              <w:t xml:space="preserve">- </w:t>
            </w:r>
            <w:r w:rsidRPr="00D15B43">
              <w:rPr>
                <w:sz w:val="22"/>
                <w:szCs w:val="22"/>
              </w:rPr>
              <w:t>An individual focus supports every person in reaching milestones for success.</w:t>
            </w:r>
          </w:p>
          <w:p w14:paraId="5EBCD424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0D2360E4" w14:textId="77777777" w:rsidR="00D15B43" w:rsidRPr="00D15B43" w:rsidRDefault="00D15B43" w:rsidP="000F5856">
            <w:pPr>
              <w:rPr>
                <w:rStyle w:val="Strong"/>
                <w:b w:val="0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Connect</w:t>
            </w:r>
            <w:r w:rsidRPr="00D15B43">
              <w:rPr>
                <w:sz w:val="22"/>
                <w:szCs w:val="22"/>
              </w:rPr>
              <w:t>- Students and staff thrive in a safe, nurturing and inclusive culture that embraces diversity.</w:t>
            </w:r>
          </w:p>
          <w:p w14:paraId="2148CF51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01460AA8" w14:textId="77777777" w:rsidR="003643C8" w:rsidRDefault="00D15B43" w:rsidP="000F5856">
            <w:pPr>
              <w:rPr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Empower</w:t>
            </w:r>
            <w:r w:rsidRPr="00D15B43">
              <w:rPr>
                <w:sz w:val="22"/>
                <w:szCs w:val="22"/>
              </w:rPr>
              <w:t>- Schools, families and the community are mutually invested in student achievement and well-being.</w:t>
            </w:r>
          </w:p>
          <w:p w14:paraId="7713734B" w14:textId="77777777" w:rsidR="000F5856" w:rsidRPr="008610E6" w:rsidRDefault="000F5856" w:rsidP="000F5856">
            <w:pPr>
              <w:rPr>
                <w:sz w:val="18"/>
                <w:szCs w:val="16"/>
              </w:rPr>
            </w:pPr>
          </w:p>
        </w:tc>
        <w:tc>
          <w:tcPr>
            <w:tcW w:w="7212" w:type="dxa"/>
            <w:vMerge/>
          </w:tcPr>
          <w:p w14:paraId="403B0127" w14:textId="77777777" w:rsidR="003643C8" w:rsidRPr="008747A8" w:rsidRDefault="003643C8" w:rsidP="000F5856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14:paraId="74E44AEE" w14:textId="77777777" w:rsidR="00950C45" w:rsidRPr="00F64CF2" w:rsidRDefault="00950C45" w:rsidP="00950C45"/>
    <w:sectPr w:rsidR="00950C45" w:rsidRPr="00F64CF2" w:rsidSect="00950C45">
      <w:pgSz w:w="15840" w:h="12240" w:orient="landscape"/>
      <w:pgMar w:top="450" w:right="288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2CA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E61D0"/>
    <w:multiLevelType w:val="hybridMultilevel"/>
    <w:tmpl w:val="75F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99E"/>
    <w:multiLevelType w:val="hybridMultilevel"/>
    <w:tmpl w:val="D39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568"/>
    <w:multiLevelType w:val="hybridMultilevel"/>
    <w:tmpl w:val="E8E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82336"/>
    <w:multiLevelType w:val="multilevel"/>
    <w:tmpl w:val="1100917E"/>
    <w:lvl w:ilvl="0">
      <w:start w:val="1"/>
      <w:numFmt w:val="decimal"/>
      <w:lvlText w:val="%1."/>
      <w:lvlJc w:val="left"/>
      <w:pPr>
        <w:ind w:left="-90" w:firstLine="360"/>
      </w:pPr>
    </w:lvl>
    <w:lvl w:ilvl="1">
      <w:start w:val="1"/>
      <w:numFmt w:val="lowerLetter"/>
      <w:lvlText w:val="%2."/>
      <w:lvlJc w:val="left"/>
      <w:pPr>
        <w:ind w:left="630" w:firstLine="1080"/>
      </w:pPr>
    </w:lvl>
    <w:lvl w:ilvl="2">
      <w:start w:val="1"/>
      <w:numFmt w:val="lowerRoman"/>
      <w:lvlText w:val="%3."/>
      <w:lvlJc w:val="right"/>
      <w:pPr>
        <w:ind w:left="1350" w:firstLine="1980"/>
      </w:pPr>
    </w:lvl>
    <w:lvl w:ilvl="3">
      <w:start w:val="1"/>
      <w:numFmt w:val="decimal"/>
      <w:lvlText w:val="%4."/>
      <w:lvlJc w:val="left"/>
      <w:pPr>
        <w:ind w:left="2070" w:firstLine="2520"/>
      </w:pPr>
    </w:lvl>
    <w:lvl w:ilvl="4">
      <w:start w:val="1"/>
      <w:numFmt w:val="lowerLetter"/>
      <w:lvlText w:val="%5."/>
      <w:lvlJc w:val="left"/>
      <w:pPr>
        <w:ind w:left="2790" w:firstLine="3240"/>
      </w:pPr>
    </w:lvl>
    <w:lvl w:ilvl="5">
      <w:start w:val="1"/>
      <w:numFmt w:val="lowerRoman"/>
      <w:lvlText w:val="%6."/>
      <w:lvlJc w:val="right"/>
      <w:pPr>
        <w:ind w:left="3510" w:firstLine="4140"/>
      </w:pPr>
    </w:lvl>
    <w:lvl w:ilvl="6">
      <w:start w:val="1"/>
      <w:numFmt w:val="decimal"/>
      <w:lvlText w:val="%7."/>
      <w:lvlJc w:val="left"/>
      <w:pPr>
        <w:ind w:left="4230" w:firstLine="4680"/>
      </w:pPr>
    </w:lvl>
    <w:lvl w:ilvl="7">
      <w:start w:val="1"/>
      <w:numFmt w:val="lowerLetter"/>
      <w:lvlText w:val="%8."/>
      <w:lvlJc w:val="left"/>
      <w:pPr>
        <w:ind w:left="4950" w:firstLine="5400"/>
      </w:pPr>
    </w:lvl>
    <w:lvl w:ilvl="8">
      <w:start w:val="1"/>
      <w:numFmt w:val="lowerRoman"/>
      <w:lvlText w:val="%9."/>
      <w:lvlJc w:val="right"/>
      <w:pPr>
        <w:ind w:left="5670" w:firstLine="6300"/>
      </w:pPr>
    </w:lvl>
  </w:abstractNum>
  <w:abstractNum w:abstractNumId="5">
    <w:nsid w:val="29061357"/>
    <w:multiLevelType w:val="hybridMultilevel"/>
    <w:tmpl w:val="27A2C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460DDA"/>
    <w:multiLevelType w:val="hybridMultilevel"/>
    <w:tmpl w:val="152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2"/>
    <w:rsid w:val="0001287F"/>
    <w:rsid w:val="00036307"/>
    <w:rsid w:val="000A032A"/>
    <w:rsid w:val="000B0A21"/>
    <w:rsid w:val="000F5856"/>
    <w:rsid w:val="00126A0B"/>
    <w:rsid w:val="00136316"/>
    <w:rsid w:val="0017661A"/>
    <w:rsid w:val="00191C8D"/>
    <w:rsid w:val="001A414B"/>
    <w:rsid w:val="00200DE2"/>
    <w:rsid w:val="00237102"/>
    <w:rsid w:val="00237971"/>
    <w:rsid w:val="0025047A"/>
    <w:rsid w:val="00261876"/>
    <w:rsid w:val="0028324A"/>
    <w:rsid w:val="002D38C4"/>
    <w:rsid w:val="00314A57"/>
    <w:rsid w:val="00317FFA"/>
    <w:rsid w:val="0034452C"/>
    <w:rsid w:val="003643C8"/>
    <w:rsid w:val="003713A2"/>
    <w:rsid w:val="003804BF"/>
    <w:rsid w:val="003E35ED"/>
    <w:rsid w:val="004817B2"/>
    <w:rsid w:val="00491328"/>
    <w:rsid w:val="004E70F6"/>
    <w:rsid w:val="005259CD"/>
    <w:rsid w:val="005422A7"/>
    <w:rsid w:val="005A38FF"/>
    <w:rsid w:val="006004D8"/>
    <w:rsid w:val="00601F36"/>
    <w:rsid w:val="00623D6D"/>
    <w:rsid w:val="00681EAE"/>
    <w:rsid w:val="006A27CA"/>
    <w:rsid w:val="00754259"/>
    <w:rsid w:val="007635FC"/>
    <w:rsid w:val="00786CAA"/>
    <w:rsid w:val="0078762B"/>
    <w:rsid w:val="007A1CC0"/>
    <w:rsid w:val="007E3036"/>
    <w:rsid w:val="007E73DC"/>
    <w:rsid w:val="0082778A"/>
    <w:rsid w:val="00831D75"/>
    <w:rsid w:val="0084074D"/>
    <w:rsid w:val="008610E6"/>
    <w:rsid w:val="008836C9"/>
    <w:rsid w:val="008903D2"/>
    <w:rsid w:val="008A56AE"/>
    <w:rsid w:val="0095000F"/>
    <w:rsid w:val="00950C45"/>
    <w:rsid w:val="00A1462E"/>
    <w:rsid w:val="00A347AF"/>
    <w:rsid w:val="00A37807"/>
    <w:rsid w:val="00A557F2"/>
    <w:rsid w:val="00AE1F23"/>
    <w:rsid w:val="00B21526"/>
    <w:rsid w:val="00B601B0"/>
    <w:rsid w:val="00B82289"/>
    <w:rsid w:val="00BB2D46"/>
    <w:rsid w:val="00BB7D81"/>
    <w:rsid w:val="00C9595A"/>
    <w:rsid w:val="00CA04E2"/>
    <w:rsid w:val="00CD4EDB"/>
    <w:rsid w:val="00CF1D48"/>
    <w:rsid w:val="00D047AC"/>
    <w:rsid w:val="00D15B43"/>
    <w:rsid w:val="00DC5E0C"/>
    <w:rsid w:val="00E04451"/>
    <w:rsid w:val="00E818EE"/>
    <w:rsid w:val="00E900CA"/>
    <w:rsid w:val="00EA4551"/>
    <w:rsid w:val="00EA6D01"/>
    <w:rsid w:val="00F13330"/>
    <w:rsid w:val="00F509AB"/>
    <w:rsid w:val="00F64CF2"/>
    <w:rsid w:val="00F6656F"/>
    <w:rsid w:val="00F93498"/>
    <w:rsid w:val="00FB19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9F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F2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A55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57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557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DAE"/>
    <w:rPr>
      <w:color w:val="0000FF"/>
      <w:u w:val="single"/>
    </w:rPr>
  </w:style>
  <w:style w:type="character" w:styleId="FollowedHyperlink">
    <w:name w:val="FollowedHyperlink"/>
    <w:rsid w:val="000C4EBC"/>
    <w:rPr>
      <w:color w:val="800080"/>
      <w:u w:val="single"/>
    </w:rPr>
  </w:style>
  <w:style w:type="paragraph" w:styleId="BalloonText">
    <w:name w:val="Balloon Text"/>
    <w:basedOn w:val="Normal"/>
    <w:semiHidden/>
    <w:rsid w:val="0073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047AC"/>
    <w:pPr>
      <w:ind w:left="720"/>
      <w:contextualSpacing/>
    </w:pPr>
  </w:style>
  <w:style w:type="character" w:styleId="Strong">
    <w:name w:val="Strong"/>
    <w:basedOn w:val="DefaultParagraphFont"/>
    <w:uiPriority w:val="22"/>
    <w:rsid w:val="00D15B43"/>
    <w:rPr>
      <w:b/>
    </w:rPr>
  </w:style>
  <w:style w:type="paragraph" w:customStyle="1" w:styleId="Normal1">
    <w:name w:val="Normal1"/>
    <w:rsid w:val="007A1C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Reservoir High School</vt:lpstr>
    </vt:vector>
  </TitlesOfParts>
  <Company>hcpss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Reservoir High School</dc:title>
  <dc:creator>Howard County</dc:creator>
  <cp:lastModifiedBy>Microsoft Office User</cp:lastModifiedBy>
  <cp:revision>2</cp:revision>
  <cp:lastPrinted>2013-09-16T15:07:00Z</cp:lastPrinted>
  <dcterms:created xsi:type="dcterms:W3CDTF">2017-10-18T18:52:00Z</dcterms:created>
  <dcterms:modified xsi:type="dcterms:W3CDTF">2017-10-18T18:52:00Z</dcterms:modified>
</cp:coreProperties>
</file>